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Směrnice zaměstnavatele o postupu při pracovním úrazu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Tato směrnice je vydávána školou _____________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(přesné označení, adresa) </w:t>
      </w:r>
      <w:r>
        <w:rPr>
          <w:rFonts w:ascii="Arial" w:hAnsi="Arial" w:cs="Arial"/>
          <w:color w:val="000000"/>
          <w:sz w:val="20"/>
          <w:szCs w:val="20"/>
        </w:rPr>
        <w:t>(dále jako „</w:t>
      </w:r>
      <w:r>
        <w:rPr>
          <w:rFonts w:ascii="Arial" w:hAnsi="Arial" w:cs="Arial"/>
          <w:b/>
          <w:bCs/>
          <w:color w:val="000000"/>
          <w:sz w:val="20"/>
          <w:szCs w:val="20"/>
        </w:rPr>
        <w:t>Škola</w:t>
      </w:r>
      <w:r>
        <w:rPr>
          <w:rFonts w:ascii="Arial" w:hAnsi="Arial" w:cs="Arial"/>
          <w:color w:val="000000"/>
          <w:sz w:val="20"/>
          <w:szCs w:val="20"/>
        </w:rPr>
        <w:t>" nebo též jako „</w:t>
      </w:r>
      <w:r>
        <w:rPr>
          <w:rFonts w:ascii="Arial" w:hAnsi="Arial" w:cs="Arial"/>
          <w:b/>
          <w:bCs/>
          <w:color w:val="000000"/>
          <w:sz w:val="20"/>
          <w:szCs w:val="20"/>
        </w:rPr>
        <w:t>zaměstnavatel</w:t>
      </w:r>
      <w:r>
        <w:rPr>
          <w:rFonts w:ascii="Arial" w:hAnsi="Arial" w:cs="Arial"/>
          <w:color w:val="000000"/>
          <w:sz w:val="20"/>
          <w:szCs w:val="20"/>
        </w:rPr>
        <w:t>") na základě ustanovení § 305 zákona č. 262/2006 Sb., zákoník práce, ve znění pozdějších předpisů (dále jako „</w:t>
      </w:r>
      <w:r>
        <w:rPr>
          <w:rFonts w:ascii="Arial" w:hAnsi="Arial" w:cs="Arial"/>
          <w:b/>
          <w:bCs/>
          <w:color w:val="000000"/>
          <w:sz w:val="20"/>
          <w:szCs w:val="20"/>
        </w:rPr>
        <w:t>zákoník práce</w:t>
      </w:r>
      <w:r>
        <w:rPr>
          <w:rFonts w:ascii="Arial" w:hAnsi="Arial" w:cs="Arial"/>
          <w:color w:val="000000"/>
          <w:sz w:val="20"/>
          <w:szCs w:val="20"/>
        </w:rPr>
        <w:t>").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  <w:t>Tato směrnice upravuje postup zaměstnavatele a zaměstnanců v případě, kdy dojde k pracovnímu úrazu.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  <w:t>V případě, že dojde k pracovnímu úrazu, oznámí poškozený zaměstnanec (je-li toho schopen) a zaměstnanec, který byl svědkem pracovního úrazu, nebo zaměstnanec, který se o pracovním úrazu dověděl, tuto skutečnost bezprostředně nadřízenému zaměstnanci poškozeného zaměstnance. Bezprostředně nadřízený zaměstnanec se přesvědčí, zda bylo poškozenému zaměstnanci poskytnuto lékařské ošetření, a pokud se tak nestalo, neprodleně jej zajistí. Bezprostředně nadřízený zaměstnanec neprodleně ohlásí skutečnost, že se stal pracovní úraz, pověřené osobě.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Osobou pověřenou k vedení evidence pracovních úrazů a prošetření příčin a okolností jejich vzniku je …………. </w:t>
      </w:r>
      <w:r>
        <w:rPr>
          <w:rFonts w:ascii="Arial" w:hAnsi="Arial" w:cs="Arial"/>
          <w:i/>
          <w:iCs/>
          <w:color w:val="000000"/>
          <w:sz w:val="20"/>
          <w:szCs w:val="20"/>
        </w:rPr>
        <w:t>(uvést buď pověřeného zaměstnance nebo lépe jeho pracovní zařazení s ohledem na možnou fluktuaci zaměstnanců)</w:t>
      </w:r>
      <w:r>
        <w:rPr>
          <w:rFonts w:ascii="Arial" w:hAnsi="Arial" w:cs="Arial"/>
          <w:color w:val="000000"/>
          <w:sz w:val="20"/>
          <w:szCs w:val="20"/>
        </w:rPr>
        <w:t xml:space="preserve"> (dále jako „</w:t>
      </w:r>
      <w:r>
        <w:rPr>
          <w:rFonts w:ascii="Arial" w:hAnsi="Arial" w:cs="Arial"/>
          <w:b/>
          <w:bCs/>
          <w:color w:val="000000"/>
          <w:sz w:val="20"/>
          <w:szCs w:val="20"/>
        </w:rPr>
        <w:t>pověřená osoba</w:t>
      </w:r>
      <w:r>
        <w:rPr>
          <w:rFonts w:ascii="Arial" w:hAnsi="Arial" w:cs="Arial"/>
          <w:color w:val="000000"/>
          <w:sz w:val="20"/>
          <w:szCs w:val="20"/>
        </w:rPr>
        <w:t xml:space="preserve">"). Pracovní úraz zaznamená pověřená osoba do knihy úrazů, která se vede v listinné podobě </w:t>
      </w:r>
      <w:r>
        <w:rPr>
          <w:rFonts w:ascii="Arial" w:hAnsi="Arial" w:cs="Arial"/>
          <w:i/>
          <w:iCs/>
          <w:color w:val="000000"/>
          <w:sz w:val="20"/>
          <w:szCs w:val="20"/>
        </w:rPr>
        <w:t>(je možné vést knihu i v elektronické podobě)</w:t>
      </w:r>
      <w:r>
        <w:rPr>
          <w:rFonts w:ascii="Arial" w:hAnsi="Arial" w:cs="Arial"/>
          <w:color w:val="000000"/>
          <w:sz w:val="20"/>
          <w:szCs w:val="20"/>
        </w:rPr>
        <w:t>. Pověřená osoba je povinna vydat zaměstnanci na jeho žádost kopii nebo výpis údajů v knize úrazů o jeho úrazu; dojde-li ke smrtelnému úrazu, vydá je rodinným příslušníkům zaměstnance na jejich žádost.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  <w:t>Záznam o úrazu vyhotovuje pověřená osoba neprodleně, nejpozději však do 5 pracovních dnů ode dne, kdy se o úrazu dozvěděla. Záznam o úrazu předá pověřená osoba bez zbytečného odkladu oprávněným osobám. Způsob vedení evidence, hlášení a zasílání záznamů o úrazu je upraveno v nařízení vlády č. 201/2010 Sb., podle kterého je pověřená osoba povinna postupovat.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Byla-li pracovním úrazem poškozenému zaměstnanci způsobena pracovní neschopnost delší než tři dny, vyhotoví pověřená osoba záznam o pracovním úrazu a předá jej zaměstnanci Školy, který pracovní úraz utrpěl. Pověřená osoba je povinna ohlásit pracovní úraz a zaslat záznam o úrazu orgánům a institucím uvedeným v nařízení vlády č. 201/2010 Sb., tedy následujícím orgánům: 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1417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územně příslušnému útvaru Policie České republiky, nasvědčují-li zjištěné skutečnosti tomu, že v souvislosti s pracovním úrazem byl spáchán trestný čin,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1417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odborové organizaci a zástupci pro oblast bezpečnosti a ochrany zdraví při práci,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1417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příslušnému oblastnímu inspektorátu práce, došlo-li k úrazu u fyzické nebo právnické osoby, která podle jiného právního předpisu podléhá jeho kontrolní působnosti, a trvá-li hospitalizace úrazem postiženého zaměstnance více než 5 dnů nebo lze-li vzhledem k povaze zranění takovou dobu hospitalizace předpokládat,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1417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zaměstnavateli, který zaměstnance k práci u něho vyslal nebo dočasně přidělil,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1417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zdravotní pojišťovně, u které je pracovním úrazem postižený zaměstnanec pojištěn.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jde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smrtelný pracovní úraz</w:t>
      </w:r>
      <w:r>
        <w:rPr>
          <w:rFonts w:ascii="Arial" w:hAnsi="Arial" w:cs="Arial"/>
          <w:color w:val="000000"/>
          <w:sz w:val="20"/>
          <w:szCs w:val="20"/>
        </w:rPr>
        <w:t>, je pověřená osoba povinna jej ohlásit bez zbytečného odkladu: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územně příslušnému útvaru Policie České republiky,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odborové organizaci a zástupci pro oblast bezpečnosti a ochrany zdraví při práci,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příslušnému oblastnímu inspektorátu práce, došlo-li k úrazu u fyzické nebo právnické osoby, která podle jiného právního předpisu podléhá jeho kontrolní působnosti,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zaměstnavateli, který zaměstnance k práci u něho vyslal nebo dočasně přidělil,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zdravotní pojišťovně, u které byl smrtelným pracovním úrazem postižený zaměstnanec pojištěn.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Pověřený zaměstnanec vyšetří příčiny a okolnosti vzniku pracovního úrazu za účasti zaměstnance (pokud to jeho zdravotní stav dovoluje) a za účasti zástupce odborové organizace, pana ................. </w:t>
      </w:r>
      <w:r>
        <w:rPr>
          <w:rFonts w:ascii="Arial" w:hAnsi="Arial" w:cs="Arial"/>
          <w:i/>
          <w:iCs/>
          <w:color w:val="000000"/>
          <w:sz w:val="20"/>
          <w:szCs w:val="20"/>
        </w:rPr>
        <w:t>(nebo zástupce pro oblast bezpečnosti a ochrany zdraví při práci)</w:t>
      </w:r>
      <w:r>
        <w:rPr>
          <w:rFonts w:ascii="Arial" w:hAnsi="Arial" w:cs="Arial"/>
          <w:color w:val="000000"/>
          <w:sz w:val="20"/>
          <w:szCs w:val="20"/>
        </w:rPr>
        <w:t xml:space="preserve"> a výsledky šetření předá příslušnému vedoucímu zaměstnanci k přijetí opatření proti opakování pracovního úrazu, dále vedoucímu zaměstnanci, který je oprávněn rozhodovat o výši náhrady škody způsobené zaměstnanci, byla-li škoda způsobena a je-li u zaměstnavatele zřízena škodní komise (poradní orgán), též škodní komisi. Způsob řešení náhrady škody vzniklé pracovním úrazem je upraven vnitřním předpisem zaměstnavatele o postupu při odškodňování pracovních úrazů.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ab/>
        <w:t>Tato směrnice bude k dispozici na jednotlivých pracovištích Školy k nahlédnutí všem zaměstnancům Školy.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Tato směrnice nabývá účinnosti dnem </w:t>
      </w:r>
      <w:r>
        <w:rPr>
          <w:rFonts w:ascii="Arial" w:hAnsi="Arial" w:cs="Arial"/>
          <w:i/>
          <w:iCs/>
          <w:color w:val="000000"/>
          <w:sz w:val="20"/>
          <w:szCs w:val="20"/>
        </w:rPr>
        <w:t>______________(např. 1. září 2012)</w:t>
      </w:r>
      <w:r>
        <w:rPr>
          <w:rFonts w:ascii="Arial" w:hAnsi="Arial" w:cs="Arial"/>
          <w:color w:val="000000"/>
          <w:sz w:val="20"/>
          <w:szCs w:val="20"/>
        </w:rPr>
        <w:t xml:space="preserve"> a je vydána na dobu určitou do _______ </w:t>
      </w:r>
      <w:r>
        <w:rPr>
          <w:rFonts w:ascii="Arial" w:hAnsi="Arial" w:cs="Arial"/>
          <w:i/>
          <w:iCs/>
          <w:color w:val="000000"/>
          <w:sz w:val="20"/>
          <w:szCs w:val="20"/>
        </w:rPr>
        <w:t>(např. 31. srpna 2013)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9. </w:t>
      </w:r>
      <w:r>
        <w:rPr>
          <w:rFonts w:ascii="Arial" w:hAnsi="Arial" w:cs="Arial"/>
          <w:color w:val="000000"/>
          <w:sz w:val="20"/>
          <w:szCs w:val="20"/>
        </w:rPr>
        <w:tab/>
        <w:t>V případě, že dojde ke změnám v právní úpravě, které budou mít za následek, že některá z ustanovení této směrnice bude třeba uvést do souladu s právními předpisy, pak je ředitel Školy povinen bez zbytečného odkladu vydat novou směrnici.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tabs>
          <w:tab w:val="left" w:pos="5610"/>
        </w:tabs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__________ dne ___________</w:t>
      </w:r>
    </w:p>
    <w:p w:rsidR="00456C8B" w:rsidRDefault="00456C8B">
      <w:pPr>
        <w:widowControl w:val="0"/>
        <w:tabs>
          <w:tab w:val="left" w:pos="5610"/>
        </w:tabs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widowControl w:val="0"/>
        <w:tabs>
          <w:tab w:val="left" w:pos="5610"/>
        </w:tabs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tabs>
          <w:tab w:val="left" w:pos="5610"/>
        </w:tabs>
        <w:autoSpaceDE w:val="0"/>
        <w:autoSpaceDN w:val="0"/>
        <w:adjustRightInd w:val="0"/>
        <w:ind w:left="567" w:right="28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456C8B" w:rsidRDefault="00456C8B">
      <w:pPr>
        <w:keepLines/>
        <w:widowControl w:val="0"/>
        <w:tabs>
          <w:tab w:val="left" w:pos="6480"/>
        </w:tabs>
        <w:autoSpaceDE w:val="0"/>
        <w:autoSpaceDN w:val="0"/>
        <w:adjustRightInd w:val="0"/>
        <w:ind w:left="567" w:right="28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 Školy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Komentář: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Zákoník práce stanoví zaměstnavatelům určité povinnosti pro případ, že u něj dojde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 pracovnímu úrazu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V takovém případě je zaměstnavatel povinen objasnit příčiny a okolnosti vzniku tohoto úrazu, a to za účasti zaměstnance, který pracovní úraz utrpěl, pokud to jeho zdravotní stav dovoluje a dále za účasti svědků a odborové organizace nebo zástupce pro oblast bezpečnosti a ochrany zdraví při práci.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Zaměstnavatel nesmí bez vážných důvodů měnit na místě úrazu jeho stav, a to až do doby objasnění příčin a okolností vzniku pracovního úrazu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je povinen vést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knihu úrazů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kde vede evidenci o všech úrazech, i těch,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 kterých nedošlo ke vzniku pracovní neschopnosti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(jde např. o drobná poranění jako škrábnutí, říznutí, bodnutí apod., která si zaměstnanec ošetří pomocí léků uložených v lékárničce na pracovišti) nebo došlo ke vzniku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pracovní neschopnosti nepřesahující tři kalendářní dny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Kniha úrazů musí obsahovat všechny údaje potřebné k sepsání záznamu o úrazu, tj. minimálně musí obsahovat údaj o místě, kde k úrazu došlo, všechny základní údaje o postiženém zaměstnanci a podrobný popis pracovního úrazu. 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Zaměstnavatel by pro tyto účely měl určit osobu, která bude vést evidenci pracovních úrazů a informovat zaměstnance o místě uložení knihy úrazů a o osobě, která je určena k jejímu vedení.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je dále povinen vyhotovovat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záznamy a vést dokumentaci o všech pracovních úrazech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jejichž následkem došlo ke zranění zaměstnance s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pracovní neschopností delší než tři kalendářní dny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nebo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 úmrtí zaměstnance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Jedno vyhotovení </w:t>
      </w: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záznamu o úrazu je zaměstnavatel povinen předat postiženému zaměstnanci a v případě smrtelného pracovního úrazu jeho rodinným příslušníkům. Záznam o úrazu sepisuje zaměstnavatel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nejpozději do 5 pracovních dnů po oznámení pracovního úrazu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je povinen ohlásit pracovní úraz a zaslat záznam o úrazu stanoveným orgánům a institucím</w:t>
      </w:r>
      <w:r>
        <w:rPr>
          <w:rFonts w:ascii="Arial" w:hAnsi="Arial" w:cs="Arial"/>
          <w:i/>
          <w:iCs/>
          <w:color w:val="000000"/>
          <w:sz w:val="20"/>
          <w:szCs w:val="20"/>
        </w:rPr>
        <w:t>. Způsob evidence, hlášení a zasílání záznamu o úrazu, vzor záznamu o úrazu a okruh orgánů a institucí, kterým se ohlašuje pracovní úraz a zasílá záznam o úrazu, stanoví vláda svým nařízením.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V současné době je účinné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nařízení vlády č. 201/2010 Sb</w:t>
      </w:r>
      <w:r>
        <w:rPr>
          <w:rFonts w:ascii="Arial" w:hAnsi="Arial" w:cs="Arial"/>
          <w:i/>
          <w:iCs/>
          <w:color w:val="000000"/>
          <w:sz w:val="20"/>
          <w:szCs w:val="20"/>
        </w:rPr>
        <w:t>., o způsobu evidence úrazů, hlášení a zasílání záznamu o úrazu.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vede evidenci o úrazech v knize úrazů v elektronické nebo listinné podobě. Evidence obsahuje tyto údaje: 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jméno, popřípadě jména, a příjmení (dále jen „jméno") úrazem postiženého zaměstnance,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datum a hodinu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místo, kde k úrazu došlo,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činnost, při níž k úrazu došlo,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počet hodin odpracovaných bezprostředně před vznikem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celkový počet zraněných osob,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druh zranění a zraněná část těla,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druh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zdroj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příčiny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jména svědků úrazu,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jméno a pracovní zařazení toho, kdo údaje zaznamenal.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Došlo-li k úrazu u jiného zaměstnavatele, k němuž byl zaměstnanec vyslán nebo dočasně přidělen, zaznamenají údaje podle odstavce 1 do knih úrazů zaměstnavatel úrazem postiženého zaměstnance a zaměstnavatel, k němuž byl úrazem postižený zaměstnanec vyslán nebo dočasně přidělen.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Zaměstnavatel vydá zaměstnanci na jeho žádost kopii nebo výpis údajů v knize úrazů o jeho úrazu; dojde-li ke smrtelnému úrazu, zaměstnavatel je vydá rodinným příslušníkům zaměstnance na jejich žádost.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v souladu s výše uvedeným nařízením vlády ohlásí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pracovní úraz bez zbytečného odkladu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územně příslušnému útvaru Policie České republiky, nasvědčují-li zjištěné skutečnosti tomu, že v souvislosti s pracovním úrazem byl spáchán trestný čin,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odborové organizaci a zástupci pro oblast bezpečnosti a ochrany zdraví při práci,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příslušnému oblastnímu inspektorátu práce, došlo-li k úrazu u fyzické nebo právnické osoby, která podle jiného právního předpisu podléhá jeho kontrolní působnosti, a trvá-li hospitalizace úrazem postiženého zaměstnance více než 5 dnů nebo lze-li vzhledem k povaze zranění takovou dobu hospitalizace předpokládat,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příslušnému obvodnímu báňskému úřadu, podléhá-li činnost, pracoviště nebo technické zařízení vrchnímu dozoru podle jiného právního předpisu, jde-li o závažný pracovní úraz podle jiného právního předpisu,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zaměstnavateli, který zaměstnance k práci u něho vyslal nebo dočasně přidělil,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-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  <w:t>zdravotní pojišťovně, u které je pracovním úrazem postižený zaměstnanec pojištěn.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Pokud jde 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smrtelný pracovní úraz</w:t>
      </w:r>
      <w:r>
        <w:rPr>
          <w:rFonts w:ascii="Arial" w:hAnsi="Arial" w:cs="Arial"/>
          <w:i/>
          <w:iCs/>
          <w:color w:val="000000"/>
          <w:sz w:val="20"/>
          <w:szCs w:val="20"/>
        </w:rPr>
        <w:t>, je zaměstnavatel povinen jej ohlásit bez zbytečného odkladu: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územně příslušnému útvaru Policie České republiky,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odborové organizaci a zástupci pro oblast bezpečnosti a ochrany zdraví při práci,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příslušnému oblastnímu inspektorátu práce, došlo-li k úrazu u fyzické nebo právnické osoby, která podle jiného právního předpisu podléhá jeho kontrolní působnosti,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příslušnému obvodnímu báňskému úřadu, podléhá-li činnost, pracoviště nebo technické zařízení vrchnímu dozoru podle jiného právního předpisu,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zaměstnavateli, který zaměstnance k práci u něho vyslal nebo dočasně přidělil,</w:t>
      </w:r>
    </w:p>
    <w:p w:rsidR="00456C8B" w:rsidRDefault="00456C8B">
      <w:pPr>
        <w:keepLines/>
        <w:widowControl w:val="0"/>
        <w:autoSpaceDE w:val="0"/>
        <w:autoSpaceDN w:val="0"/>
        <w:adjustRightInd w:val="0"/>
        <w:ind w:left="992" w:right="289" w:hanging="42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zdravotní pojišťovně, u které byl smrtelným pracovním úrazem postižený zaměstnanec pojištěn.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 ohledem na základní zásadu předcházení rizikům je zaměstnavatel povinen přijímat opatření proti opakování pracovních úrazů.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Zaměstnavatel dále vede evidenci zaměstnanců, u nichž byla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uznána nemoc z povolání</w:t>
      </w:r>
      <w:r>
        <w:rPr>
          <w:rFonts w:ascii="Arial" w:hAnsi="Arial" w:cs="Arial"/>
          <w:i/>
          <w:iCs/>
          <w:color w:val="000000"/>
          <w:sz w:val="20"/>
          <w:szCs w:val="20"/>
        </w:rPr>
        <w:t>, která vznikla na jeho pracovištích, a je povinen uplatnit taková opatření, aby odstranil nebo minimalizoval rizikové faktory, které vyvolávají ohrožení nemocí z povolání nebo nemoc z povolání.</w:t>
      </w: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p w:rsidR="00456C8B" w:rsidRDefault="00456C8B">
      <w:pPr>
        <w:widowControl w:val="0"/>
        <w:autoSpaceDE w:val="0"/>
        <w:autoSpaceDN w:val="0"/>
        <w:adjustRightInd w:val="0"/>
        <w:ind w:left="567" w:right="289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56C8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56C8B"/>
    <w:rsid w:val="000F4560"/>
    <w:rsid w:val="00456C8B"/>
    <w:rsid w:val="00B8608D"/>
    <w:rsid w:val="00F4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zaměstnavatele o postupu při pracovním úrazu</dc:title>
  <dc:subject/>
  <dc:creator>Altair PC</dc:creator>
  <cp:keywords/>
  <dc:description/>
  <cp:lastModifiedBy>Altair PC</cp:lastModifiedBy>
  <cp:revision>2</cp:revision>
  <dcterms:created xsi:type="dcterms:W3CDTF">2014-04-08T10:31:00Z</dcterms:created>
  <dcterms:modified xsi:type="dcterms:W3CDTF">2014-04-08T10:31:00Z</dcterms:modified>
</cp:coreProperties>
</file>